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25" w:lineRule="auto"/>
        <w:rPr>
          <w:rFonts w:ascii="Lato" w:cs="Lato" w:eastAsia="Lato" w:hAnsi="Lato"/>
          <w:color w:val="2d3b45"/>
          <w:sz w:val="48"/>
          <w:szCs w:val="48"/>
          <w:highlight w:val="white"/>
        </w:rPr>
      </w:pPr>
      <w:bookmarkStart w:colFirst="0" w:colLast="0" w:name="_pvmu1ixpdfqa" w:id="0"/>
      <w:bookmarkEnd w:id="0"/>
      <w:r w:rsidDel="00000000" w:rsidR="00000000" w:rsidRPr="00000000">
        <w:rPr>
          <w:rFonts w:ascii="Lato" w:cs="Lato" w:eastAsia="Lato" w:hAnsi="Lato"/>
          <w:color w:val="2d3b45"/>
          <w:sz w:val="48"/>
          <w:szCs w:val="48"/>
          <w:highlight w:val="white"/>
          <w:rtl w:val="0"/>
        </w:rPr>
        <w:t xml:space="preserve">D10 - Information Literacy and Culturally Responsive Pedagogy</w:t>
      </w:r>
    </w:p>
    <w:p w:rsidR="00000000" w:rsidDel="00000000" w:rsidP="00000000" w:rsidRDefault="00000000" w:rsidRPr="00000000" w14:paraId="00000002">
      <w:pPr>
        <w:ind w:right="-40"/>
        <w:rPr>
          <w:rFonts w:ascii="Lato" w:cs="Lato" w:eastAsia="Lato" w:hAnsi="Lato"/>
          <w:color w:val="2d3b45"/>
          <w:sz w:val="24"/>
          <w:szCs w:val="24"/>
          <w:highlight w:val="white"/>
        </w:rPr>
      </w:pPr>
      <w:r w:rsidDel="00000000" w:rsidR="00000000" w:rsidRPr="00000000">
        <w:rPr>
          <w:rFonts w:ascii="Lato" w:cs="Lato" w:eastAsia="Lato" w:hAnsi="Lato"/>
          <w:color w:val="ffffff"/>
          <w:sz w:val="24"/>
          <w:szCs w:val="24"/>
          <w:highlight w:val="white"/>
          <w:rtl w:val="0"/>
        </w:rPr>
        <w:t xml:space="preserve">2</w:t>
      </w:r>
      <w:r w:rsidDel="00000000" w:rsidR="00000000" w:rsidRPr="00000000">
        <w:rPr>
          <w:rtl w:val="0"/>
        </w:rPr>
      </w:r>
    </w:p>
    <w:p w:rsidR="00000000" w:rsidDel="00000000" w:rsidP="00000000" w:rsidRDefault="00000000" w:rsidRPr="00000000" w14:paraId="00000003">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Incorporate at least </w:t>
      </w:r>
      <w:r w:rsidDel="00000000" w:rsidR="00000000" w:rsidRPr="00000000">
        <w:rPr>
          <w:rFonts w:ascii="Lato" w:cs="Lato" w:eastAsia="Lato" w:hAnsi="Lato"/>
          <w:b w:val="1"/>
          <w:color w:val="2d3b45"/>
          <w:sz w:val="24"/>
          <w:szCs w:val="24"/>
          <w:rtl w:val="0"/>
        </w:rPr>
        <w:t xml:space="preserve">one article</w:t>
      </w:r>
      <w:r w:rsidDel="00000000" w:rsidR="00000000" w:rsidRPr="00000000">
        <w:rPr>
          <w:rFonts w:ascii="Lato" w:cs="Lato" w:eastAsia="Lato" w:hAnsi="Lato"/>
          <w:color w:val="2d3b45"/>
          <w:sz w:val="24"/>
          <w:szCs w:val="24"/>
          <w:rtl w:val="0"/>
        </w:rPr>
        <w:t xml:space="preserve"> in addition to this week's readings in your analysis of some issue related to the topic of diversity and inclusive pedagogy. Discuss how librarians can construct teaching so that it includes as many students from diverse backgrounds as possible using the framework of culturally responsive pedagogy.</w:t>
      </w:r>
    </w:p>
    <w:p w:rsidR="00000000" w:rsidDel="00000000" w:rsidP="00000000" w:rsidRDefault="00000000" w:rsidRPr="00000000" w14:paraId="00000004">
      <w:pPr>
        <w:shd w:fill="ffffff" w:val="clear"/>
        <w:spacing w:after="180" w:before="180" w:lineRule="auto"/>
        <w:rPr>
          <w:rFonts w:ascii="Lato" w:cs="Lato" w:eastAsia="Lato" w:hAnsi="Lato"/>
          <w:b w:val="1"/>
          <w:i w:val="1"/>
          <w:color w:val="2d3b45"/>
          <w:sz w:val="24"/>
          <w:szCs w:val="24"/>
        </w:rPr>
      </w:pPr>
      <w:r w:rsidDel="00000000" w:rsidR="00000000" w:rsidRPr="00000000">
        <w:rPr>
          <w:rFonts w:ascii="Lato" w:cs="Lato" w:eastAsia="Lato" w:hAnsi="Lato"/>
          <w:b w:val="1"/>
          <w:i w:val="1"/>
          <w:color w:val="2d3b45"/>
          <w:sz w:val="24"/>
          <w:szCs w:val="24"/>
          <w:rtl w:val="0"/>
        </w:rPr>
        <w:t xml:space="preserve">Librarians can attempt to use multimedia visuals and interactive teaching methods in order to draw attention across multiple cultures. They can also speak with each student individually in order to discern what sort of information the student expects. Much as the article by Sobel and McLeod (2019) states, children from any culture do not intuitively understand what a primary source might be, or how to acquire one. For other students this may not be an issue at all.</w:t>
      </w:r>
    </w:p>
    <w:p w:rsidR="00000000" w:rsidDel="00000000" w:rsidP="00000000" w:rsidRDefault="00000000" w:rsidRPr="00000000" w14:paraId="00000005">
      <w:pPr>
        <w:shd w:fill="ffffff" w:val="clear"/>
        <w:spacing w:after="180" w:before="180" w:lineRule="auto"/>
        <w:rPr>
          <w:rFonts w:ascii="Lato" w:cs="Lato" w:eastAsia="Lato" w:hAnsi="Lato"/>
          <w:color w:val="2d3b45"/>
          <w:sz w:val="24"/>
          <w:szCs w:val="24"/>
        </w:rPr>
      </w:pPr>
      <w:r w:rsidDel="00000000" w:rsidR="00000000" w:rsidRPr="00000000">
        <w:rPr>
          <w:rFonts w:ascii="Lato" w:cs="Lato" w:eastAsia="Lato" w:hAnsi="Lato"/>
          <w:b w:val="1"/>
          <w:i w:val="1"/>
          <w:color w:val="2d3b45"/>
          <w:sz w:val="24"/>
          <w:szCs w:val="24"/>
          <w:rtl w:val="0"/>
        </w:rPr>
        <w:t xml:space="preserve">This matters because children have the right and the ability to learn in spite of their differences in cultural norms. Everyone has the right to access to information and the ability to freely seek information in a democratic society, and it undermines democratic ideals if some people are unable to access information while others are.</w:t>
      </w:r>
      <w:r w:rsidDel="00000000" w:rsidR="00000000" w:rsidRPr="00000000">
        <w:rPr>
          <w:rtl w:val="0"/>
        </w:rPr>
      </w:r>
    </w:p>
    <w:p w:rsidR="00000000" w:rsidDel="00000000" w:rsidP="00000000" w:rsidRDefault="00000000" w:rsidRPr="00000000" w14:paraId="00000006">
      <w:pPr>
        <w:shd w:fill="ffffff" w:val="clear"/>
        <w:spacing w:before="180" w:lineRule="auto"/>
        <w:ind w:left="0" w:firstLine="0"/>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Sanger, C.S., and Gleason, N.W. (2020). </w:t>
      </w:r>
      <w:r w:rsidDel="00000000" w:rsidR="00000000" w:rsidRPr="00000000">
        <w:rPr>
          <w:rFonts w:ascii="Lato" w:cs="Lato" w:eastAsia="Lato" w:hAnsi="Lato"/>
          <w:i w:val="1"/>
          <w:color w:val="2d3b45"/>
          <w:sz w:val="24"/>
          <w:szCs w:val="24"/>
          <w:rtl w:val="0"/>
        </w:rPr>
        <w:t xml:space="preserve">Inclusive pedagogy and universal design approaches for diverse learning environments</w:t>
      </w:r>
      <w:r w:rsidDel="00000000" w:rsidR="00000000" w:rsidRPr="00000000">
        <w:rPr>
          <w:rFonts w:ascii="Lato" w:cs="Lato" w:eastAsia="Lato" w:hAnsi="Lato"/>
          <w:color w:val="2d3b45"/>
          <w:sz w:val="24"/>
          <w:szCs w:val="24"/>
          <w:rtl w:val="0"/>
        </w:rPr>
        <w:t xml:space="preserve">. Diversity and inclusion in Global Higher Education. </w:t>
      </w:r>
      <w:hyperlink r:id="rId6">
        <w:r w:rsidDel="00000000" w:rsidR="00000000" w:rsidRPr="00000000">
          <w:rPr>
            <w:rFonts w:ascii="Lato" w:cs="Lato" w:eastAsia="Lato" w:hAnsi="Lato"/>
            <w:color w:val="1155cc"/>
            <w:sz w:val="24"/>
            <w:szCs w:val="24"/>
            <w:u w:val="single"/>
            <w:rtl w:val="0"/>
          </w:rPr>
          <w:t xml:space="preserve">https://doi.org/10.1007/978-981-15-1628-3_2</w:t>
        </w:r>
      </w:hyperlink>
      <w:r w:rsidDel="00000000" w:rsidR="00000000" w:rsidRPr="00000000">
        <w:rPr>
          <w:rtl w:val="0"/>
        </w:rPr>
      </w:r>
    </w:p>
    <w:p w:rsidR="00000000" w:rsidDel="00000000" w:rsidP="00000000" w:rsidRDefault="00000000" w:rsidRPr="00000000" w14:paraId="00000007">
      <w:pPr>
        <w:shd w:fill="ffffff" w:val="clear"/>
        <w:spacing w:before="180" w:lineRule="auto"/>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Sobal, K., and McLeod, S. (2019). </w:t>
      </w:r>
      <w:r w:rsidDel="00000000" w:rsidR="00000000" w:rsidRPr="00000000">
        <w:rPr>
          <w:rFonts w:ascii="Lato" w:cs="Lato" w:eastAsia="Lato" w:hAnsi="Lato"/>
          <w:i w:val="1"/>
          <w:color w:val="2d3b45"/>
          <w:sz w:val="24"/>
          <w:szCs w:val="24"/>
          <w:rtl w:val="0"/>
        </w:rPr>
        <w:t xml:space="preserve">Exploring students’ decision-making processes in information literacy. </w:t>
      </w:r>
      <w:r w:rsidDel="00000000" w:rsidR="00000000" w:rsidRPr="00000000">
        <w:rPr>
          <w:rFonts w:ascii="Lato" w:cs="Lato" w:eastAsia="Lato" w:hAnsi="Lato"/>
          <w:color w:val="2d3b45"/>
          <w:sz w:val="24"/>
          <w:szCs w:val="24"/>
          <w:rtl w:val="0"/>
        </w:rPr>
        <w:t xml:space="preserve">School Library Journal. </w:t>
      </w:r>
      <w:hyperlink r:id="rId7">
        <w:r w:rsidDel="00000000" w:rsidR="00000000" w:rsidRPr="00000000">
          <w:rPr>
            <w:rFonts w:ascii="Lato" w:cs="Lato" w:eastAsia="Lato" w:hAnsi="Lato"/>
            <w:color w:val="1155cc"/>
            <w:sz w:val="24"/>
            <w:szCs w:val="24"/>
            <w:u w:val="single"/>
            <w:rtl w:val="0"/>
          </w:rPr>
          <w:t xml:space="preserve">https://www.slj.com/story/exploring-students-decision-making-processes-information-literacy-actor-oriented-transfer</w:t>
        </w:r>
      </w:hyperlink>
      <w:r w:rsidDel="00000000" w:rsidR="00000000" w:rsidRPr="00000000">
        <w:rPr>
          <w:rtl w:val="0"/>
        </w:rPr>
      </w:r>
    </w:p>
    <w:p w:rsidR="00000000" w:rsidDel="00000000" w:rsidP="00000000" w:rsidRDefault="00000000" w:rsidRPr="00000000" w14:paraId="00000008">
      <w:pPr>
        <w:shd w:fill="ffffff" w:val="clear"/>
        <w:spacing w:before="180" w:lineRule="auto"/>
        <w:rPr>
          <w:rFonts w:ascii="Lato" w:cs="Lato" w:eastAsia="Lato" w:hAnsi="Lato"/>
          <w:color w:val="2d3b45"/>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07/978-981-15-1628-3_2" TargetMode="External"/><Relationship Id="rId7" Type="http://schemas.openxmlformats.org/officeDocument/2006/relationships/hyperlink" Target="https://www.slj.com/story/exploring-students-decision-making-processes-information-literacy-actor-oriented-transf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